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210" w:rightChars="100"/>
        <w:rPr>
          <w:rFonts w:ascii="黑体" w:hAnsi="黑体" w:eastAsia="黑体"/>
          <w:color w:val="000000"/>
          <w:sz w:val="32"/>
          <w:szCs w:val="32"/>
        </w:rPr>
      </w:pPr>
      <w:r>
        <w:rPr>
          <w:rFonts w:hint="eastAsia" w:ascii="黑体" w:hAnsi="黑体" w:eastAsia="黑体"/>
          <w:color w:val="000000"/>
          <w:sz w:val="32"/>
          <w:szCs w:val="32"/>
        </w:rPr>
        <w:t xml:space="preserve">附件3 </w:t>
      </w:r>
    </w:p>
    <w:p>
      <w:pPr>
        <w:adjustRightInd w:val="0"/>
        <w:snapToGrid w:val="0"/>
        <w:spacing w:line="560" w:lineRule="exact"/>
        <w:ind w:right="210" w:rightChars="100"/>
        <w:jc w:val="center"/>
        <w:rPr>
          <w:rFonts w:hint="eastAsia" w:ascii="方正小标宋简体" w:hAnsi="宋体" w:eastAsia="方正小标宋简体"/>
          <w:color w:val="000000"/>
          <w:sz w:val="44"/>
          <w:szCs w:val="44"/>
        </w:rPr>
      </w:pPr>
      <w:r>
        <w:rPr>
          <w:rFonts w:hint="eastAsia" w:ascii="宋体" w:hAnsi="宋体"/>
          <w:b/>
          <w:color w:val="000000"/>
          <w:spacing w:val="-20"/>
          <w:sz w:val="44"/>
          <w:szCs w:val="44"/>
        </w:rPr>
        <w:t xml:space="preserve"> </w:t>
      </w:r>
      <w:r>
        <w:rPr>
          <w:rFonts w:hint="eastAsia" w:ascii="方正小标宋简体" w:hAnsi="宋体" w:eastAsia="方正小标宋简体"/>
          <w:color w:val="000000"/>
          <w:spacing w:val="-20"/>
          <w:sz w:val="44"/>
          <w:szCs w:val="44"/>
        </w:rPr>
        <w:t xml:space="preserve"> 2020年7月常德市生产安全事故明细表</w:t>
      </w:r>
    </w:p>
    <w:tbl>
      <w:tblPr>
        <w:tblStyle w:val="2"/>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701"/>
        <w:gridCol w:w="3685"/>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b/>
                <w:color w:val="000000"/>
                <w:sz w:val="24"/>
              </w:rPr>
            </w:pPr>
            <w:r>
              <w:rPr>
                <w:rFonts w:hint="eastAsia" w:ascii="仿宋_GB2312" w:hAnsi="仿宋" w:eastAsia="仿宋_GB2312"/>
                <w:b/>
                <w:color w:val="000000"/>
                <w:sz w:val="24"/>
              </w:rPr>
              <w:t>事故发生地</w:t>
            </w:r>
          </w:p>
        </w:tc>
        <w:tc>
          <w:tcPr>
            <w:tcW w:w="3685" w:type="dxa"/>
            <w:noWrap w:val="0"/>
            <w:vAlign w:val="center"/>
          </w:tcPr>
          <w:p>
            <w:pPr>
              <w:adjustRightInd w:val="0"/>
              <w:snapToGrid w:val="0"/>
              <w:spacing w:line="560" w:lineRule="exact"/>
              <w:ind w:right="210" w:rightChars="100"/>
              <w:jc w:val="center"/>
              <w:rPr>
                <w:rFonts w:hint="eastAsia" w:ascii="仿宋_GB2312" w:hAnsi="仿宋" w:eastAsia="仿宋_GB2312"/>
                <w:b/>
                <w:color w:val="000000"/>
                <w:sz w:val="24"/>
              </w:rPr>
            </w:pPr>
            <w:r>
              <w:rPr>
                <w:rFonts w:hint="eastAsia" w:ascii="仿宋_GB2312" w:hAnsi="仿宋" w:eastAsia="仿宋_GB2312"/>
                <w:b/>
                <w:color w:val="000000"/>
                <w:sz w:val="24"/>
              </w:rPr>
              <w:t>事故所属单位</w:t>
            </w:r>
          </w:p>
        </w:tc>
        <w:tc>
          <w:tcPr>
            <w:tcW w:w="8080" w:type="dxa"/>
            <w:noWrap w:val="0"/>
            <w:vAlign w:val="center"/>
          </w:tcPr>
          <w:p>
            <w:pPr>
              <w:adjustRightInd w:val="0"/>
              <w:snapToGrid w:val="0"/>
              <w:spacing w:line="560" w:lineRule="exact"/>
              <w:ind w:right="210" w:rightChars="100"/>
              <w:jc w:val="center"/>
              <w:rPr>
                <w:rFonts w:hint="eastAsia" w:ascii="仿宋_GB2312" w:hAnsi="仿宋" w:eastAsia="仿宋_GB2312"/>
                <w:b/>
                <w:color w:val="000000"/>
                <w:sz w:val="24"/>
              </w:rPr>
            </w:pPr>
            <w:r>
              <w:rPr>
                <w:rFonts w:hint="eastAsia" w:ascii="仿宋_GB2312" w:hAnsi="仿宋" w:eastAsia="仿宋_GB2312"/>
                <w:b/>
                <w:color w:val="000000"/>
                <w:sz w:val="24"/>
              </w:rPr>
              <w:t>事故概况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1</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武陵区</w:t>
            </w:r>
          </w:p>
        </w:tc>
        <w:tc>
          <w:tcPr>
            <w:tcW w:w="3685" w:type="dxa"/>
            <w:noWrap w:val="0"/>
            <w:vAlign w:val="center"/>
          </w:tcPr>
          <w:p>
            <w:pPr>
              <w:jc w:val="left"/>
              <w:rPr>
                <w:rFonts w:hint="eastAsia" w:ascii="仿宋_GB2312" w:hAnsi="仿宋" w:eastAsia="仿宋_GB2312"/>
                <w:color w:val="000000"/>
                <w:szCs w:val="21"/>
              </w:rPr>
            </w:pPr>
            <w:r>
              <w:rPr>
                <w:rFonts w:hint="eastAsia" w:ascii="仿宋_GB2312" w:hAnsi="仿宋" w:eastAsia="仿宋_GB2312"/>
                <w:color w:val="000000"/>
                <w:szCs w:val="21"/>
              </w:rPr>
              <w:t>常德市创联电梯工程有限公司</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7月12日上午8时许，常德市创联电梯工程有限公司对武陵区丹阳街道北正街社区常德市财政局宿舍二院12栋1单元进行户外电梯安装调试，因电梯井道玻璃（一楼）破损，工人徐孟初更换破损的玻璃，从外部进入电梯井道内，此时电梯运行中，轿厢上升，对重块下降，徐孟初受到下降对重块挤压。事发后，伤者徐孟初立即被送往常德市第一人民医院救治，经救治无效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2</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经开区</w:t>
            </w:r>
          </w:p>
        </w:tc>
        <w:tc>
          <w:tcPr>
            <w:tcW w:w="3685" w:type="dxa"/>
            <w:noWrap w:val="0"/>
            <w:vAlign w:val="center"/>
          </w:tcPr>
          <w:p>
            <w:pPr>
              <w:jc w:val="left"/>
              <w:rPr>
                <w:rFonts w:hint="eastAsia" w:ascii="仿宋_GB2312" w:hAnsi="仿宋" w:eastAsia="仿宋_GB2312"/>
                <w:color w:val="000000"/>
                <w:szCs w:val="21"/>
              </w:rPr>
            </w:pPr>
            <w:r>
              <w:rPr>
                <w:rFonts w:hint="eastAsia" w:ascii="仿宋_GB2312" w:hAnsi="仿宋" w:eastAsia="仿宋_GB2312"/>
                <w:color w:val="000000"/>
                <w:szCs w:val="21"/>
              </w:rPr>
              <w:t>湖南常德品王电镀技术有限公司</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2020年07月26日 19点40分在湖南省常德市常德经济技术开发区，湖南常德品王电镀技术有限公司负责公司设备维修工作的工人，由于行车故障，进行高处作业维修过程中不慎坠落死亡。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3</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津市市</w:t>
            </w:r>
          </w:p>
        </w:tc>
        <w:tc>
          <w:tcPr>
            <w:tcW w:w="3685"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湘J8D023轻型仓栅式货车</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2020年07月14日 04点30分在省道S224线药山镇民康村八组路，湘J8D023发生一起道路运输事故，造成1人死亡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4</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津市市</w:t>
            </w:r>
          </w:p>
        </w:tc>
        <w:tc>
          <w:tcPr>
            <w:tcW w:w="3685"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湘J7D289重型自卸货车</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2020年07月18日 09点15分在九澧大道广播电视台门前路段，湘J7D289发生一起道路运输事故，造成1人死亡。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5</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武陵区</w:t>
            </w:r>
          </w:p>
        </w:tc>
        <w:tc>
          <w:tcPr>
            <w:tcW w:w="3685"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常德市申泰环卫渣土专运有限公司湘JZ0838号重型自卸货车</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2020年07月26日 09点26分在芙蓉街道芙蓉路瞰江南工地路段，常德市申泰环卫渣土专运有限公司周伟驾驶湘JZ0838号重型自卸货车与张少枝驾驶无牌电动自行车在芙蓉路瞰江南工地路段发生交通事故，造成张少枝当场死亡。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993"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6</w:t>
            </w:r>
          </w:p>
        </w:tc>
        <w:tc>
          <w:tcPr>
            <w:tcW w:w="1701" w:type="dxa"/>
            <w:noWrap w:val="0"/>
            <w:vAlign w:val="center"/>
          </w:tcPr>
          <w:p>
            <w:pPr>
              <w:adjustRightInd w:val="0"/>
              <w:snapToGrid w:val="0"/>
              <w:spacing w:line="560" w:lineRule="exact"/>
              <w:ind w:right="210" w:rightChars="100"/>
              <w:jc w:val="center"/>
              <w:rPr>
                <w:rFonts w:hint="eastAsia" w:ascii="仿宋_GB2312" w:hAnsi="仿宋" w:eastAsia="仿宋_GB2312"/>
                <w:color w:val="000000"/>
                <w:szCs w:val="21"/>
              </w:rPr>
            </w:pPr>
            <w:r>
              <w:rPr>
                <w:rFonts w:hint="eastAsia" w:ascii="仿宋_GB2312" w:hAnsi="仿宋" w:eastAsia="仿宋_GB2312"/>
                <w:color w:val="000000"/>
                <w:szCs w:val="21"/>
              </w:rPr>
              <w:t>鼎城区</w:t>
            </w:r>
          </w:p>
        </w:tc>
        <w:tc>
          <w:tcPr>
            <w:tcW w:w="3685"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湖南省龙运交通运输集团有限公司的湘JB0273中型普通客车</w:t>
            </w:r>
          </w:p>
        </w:tc>
        <w:tc>
          <w:tcPr>
            <w:tcW w:w="8080"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2020年07月30日 08点54分在湖南省常德市鼎城区十美堂镇老街居委会门前路段，湖南省龙运交通运输集团有限公司的湘JB0273中型普通客车与周海生驾驶的无牌二轮摩托车发生碰撞，导致周海生受伤后经医院抢救无效死亡。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D55CC"/>
    <w:rsid w:val="336D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2020-08-25T02:50:00Z</dcterms:created>
  <dc:creator>大个子</dc:creator>
  <cp:lastModifiedBy>大个子</cp:lastModifiedBy>
  <dcterms:modified xsi:type="dcterms:W3CDTF">2020-08-25T02:51:11Z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