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附件3</w:t>
      </w:r>
    </w:p>
    <w:p>
      <w:pPr>
        <w:widowControl/>
        <w:tabs>
          <w:tab w:val="left" w:pos="1290"/>
        </w:tabs>
        <w:spacing w:line="400" w:lineRule="exact"/>
        <w:contextualSpacing/>
        <w:jc w:val="left"/>
        <w:rPr>
          <w:rFonts w:hint="eastAsia"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常德市应急管理系统2020年7月安全生产“强执法防事故”执法质量考评情况表</w:t>
      </w:r>
    </w:p>
    <w:tbl>
      <w:tblPr>
        <w:tblStyle w:val="3"/>
        <w:tblW w:w="13467"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3"/>
        <w:gridCol w:w="1268"/>
        <w:gridCol w:w="2503"/>
        <w:gridCol w:w="6584"/>
        <w:gridCol w:w="790"/>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3" w:type="dxa"/>
            <w:noWrap w:val="0"/>
            <w:vAlign w:val="top"/>
          </w:tcPr>
          <w:p>
            <w:pPr>
              <w:widowControl/>
              <w:tabs>
                <w:tab w:val="left" w:pos="1290"/>
              </w:tabs>
              <w:spacing w:line="400" w:lineRule="exact"/>
              <w:contextualSpacing/>
              <w:jc w:val="center"/>
              <w:rPr>
                <w:rFonts w:hint="eastAsia" w:ascii="仿宋_GB2312" w:hAnsi="宋体" w:eastAsia="仿宋_GB2312"/>
                <w:b/>
                <w:color w:val="000000"/>
                <w:sz w:val="22"/>
                <w:szCs w:val="22"/>
              </w:rPr>
            </w:pPr>
            <w:r>
              <w:rPr>
                <w:rFonts w:hint="eastAsia" w:ascii="仿宋_GB2312" w:hAnsi="宋体" w:eastAsia="仿宋_GB2312"/>
                <w:b/>
                <w:color w:val="000000"/>
                <w:sz w:val="22"/>
                <w:szCs w:val="22"/>
              </w:rPr>
              <w:t>序号</w:t>
            </w:r>
          </w:p>
        </w:tc>
        <w:tc>
          <w:tcPr>
            <w:tcW w:w="1268" w:type="dxa"/>
            <w:noWrap w:val="0"/>
            <w:vAlign w:val="top"/>
          </w:tcPr>
          <w:p>
            <w:pPr>
              <w:widowControl/>
              <w:tabs>
                <w:tab w:val="left" w:pos="1290"/>
              </w:tabs>
              <w:spacing w:line="400" w:lineRule="exact"/>
              <w:contextualSpacing/>
              <w:jc w:val="center"/>
              <w:rPr>
                <w:rFonts w:hint="eastAsia" w:ascii="仿宋_GB2312" w:hAnsi="宋体" w:eastAsia="仿宋_GB2312"/>
                <w:b/>
                <w:color w:val="000000"/>
                <w:sz w:val="22"/>
                <w:szCs w:val="22"/>
              </w:rPr>
            </w:pPr>
            <w:r>
              <w:rPr>
                <w:rFonts w:hint="eastAsia" w:ascii="仿宋_GB2312" w:hAnsi="宋体" w:eastAsia="仿宋_GB2312"/>
                <w:b/>
                <w:color w:val="000000"/>
                <w:sz w:val="22"/>
                <w:szCs w:val="22"/>
              </w:rPr>
              <w:t>单位</w:t>
            </w:r>
          </w:p>
        </w:tc>
        <w:tc>
          <w:tcPr>
            <w:tcW w:w="2503" w:type="dxa"/>
            <w:noWrap w:val="0"/>
            <w:vAlign w:val="top"/>
          </w:tcPr>
          <w:p>
            <w:pPr>
              <w:widowControl/>
              <w:tabs>
                <w:tab w:val="left" w:pos="1290"/>
              </w:tabs>
              <w:spacing w:line="400" w:lineRule="exact"/>
              <w:contextualSpacing/>
              <w:jc w:val="center"/>
              <w:rPr>
                <w:rFonts w:hint="eastAsia" w:ascii="仿宋_GB2312" w:hAnsi="宋体" w:eastAsia="仿宋_GB2312"/>
                <w:b/>
                <w:color w:val="000000"/>
                <w:sz w:val="22"/>
                <w:szCs w:val="22"/>
              </w:rPr>
            </w:pPr>
            <w:r>
              <w:rPr>
                <w:rFonts w:hint="eastAsia" w:ascii="仿宋_GB2312" w:hAnsi="宋体" w:eastAsia="仿宋_GB2312"/>
                <w:b/>
                <w:color w:val="000000"/>
                <w:sz w:val="22"/>
                <w:szCs w:val="22"/>
              </w:rPr>
              <w:t>案件名称</w:t>
            </w:r>
          </w:p>
        </w:tc>
        <w:tc>
          <w:tcPr>
            <w:tcW w:w="6584" w:type="dxa"/>
            <w:noWrap w:val="0"/>
            <w:vAlign w:val="top"/>
          </w:tcPr>
          <w:p>
            <w:pPr>
              <w:widowControl/>
              <w:tabs>
                <w:tab w:val="left" w:pos="1290"/>
              </w:tabs>
              <w:spacing w:line="400" w:lineRule="exact"/>
              <w:contextualSpacing/>
              <w:jc w:val="center"/>
              <w:rPr>
                <w:rFonts w:hint="eastAsia" w:ascii="仿宋_GB2312" w:hAnsi="宋体" w:eastAsia="仿宋_GB2312"/>
                <w:b/>
                <w:color w:val="000000"/>
                <w:sz w:val="22"/>
                <w:szCs w:val="22"/>
              </w:rPr>
            </w:pPr>
            <w:r>
              <w:rPr>
                <w:rFonts w:hint="eastAsia" w:ascii="仿宋_GB2312" w:hAnsi="宋体" w:eastAsia="仿宋_GB2312"/>
                <w:b/>
                <w:color w:val="000000"/>
                <w:sz w:val="22"/>
                <w:szCs w:val="22"/>
              </w:rPr>
              <w:t>存在的问题</w:t>
            </w:r>
          </w:p>
        </w:tc>
        <w:tc>
          <w:tcPr>
            <w:tcW w:w="790" w:type="dxa"/>
            <w:noWrap w:val="0"/>
            <w:vAlign w:val="top"/>
          </w:tcPr>
          <w:p>
            <w:pPr>
              <w:widowControl/>
              <w:tabs>
                <w:tab w:val="left" w:pos="1290"/>
              </w:tabs>
              <w:spacing w:line="400" w:lineRule="exact"/>
              <w:contextualSpacing/>
              <w:jc w:val="center"/>
              <w:rPr>
                <w:rFonts w:hint="eastAsia" w:ascii="仿宋_GB2312" w:hAnsi="宋体" w:eastAsia="仿宋_GB2312"/>
                <w:b/>
                <w:color w:val="000000"/>
                <w:sz w:val="22"/>
                <w:szCs w:val="22"/>
              </w:rPr>
            </w:pPr>
            <w:r>
              <w:rPr>
                <w:rFonts w:hint="eastAsia" w:ascii="仿宋_GB2312" w:hAnsi="宋体" w:eastAsia="仿宋_GB2312"/>
                <w:b/>
                <w:color w:val="000000"/>
                <w:sz w:val="22"/>
                <w:szCs w:val="22"/>
              </w:rPr>
              <w:t>扣分</w:t>
            </w:r>
          </w:p>
        </w:tc>
        <w:tc>
          <w:tcPr>
            <w:tcW w:w="1269" w:type="dxa"/>
            <w:noWrap w:val="0"/>
            <w:vAlign w:val="top"/>
          </w:tcPr>
          <w:p>
            <w:pPr>
              <w:widowControl/>
              <w:tabs>
                <w:tab w:val="left" w:pos="1290"/>
              </w:tabs>
              <w:spacing w:line="400" w:lineRule="exact"/>
              <w:contextualSpacing/>
              <w:jc w:val="center"/>
              <w:rPr>
                <w:rFonts w:hint="eastAsia" w:ascii="仿宋_GB2312" w:hAnsi="宋体" w:eastAsia="仿宋_GB2312"/>
                <w:b/>
                <w:color w:val="000000"/>
                <w:sz w:val="22"/>
                <w:szCs w:val="22"/>
              </w:rPr>
            </w:pPr>
            <w:r>
              <w:rPr>
                <w:rFonts w:hint="eastAsia" w:ascii="仿宋_GB2312" w:hAnsi="宋体" w:eastAsia="仿宋_GB2312"/>
                <w:b/>
                <w:color w:val="00000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7" w:hRule="atLeast"/>
        </w:trPr>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1</w:t>
            </w:r>
          </w:p>
        </w:tc>
        <w:tc>
          <w:tcPr>
            <w:tcW w:w="1268"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武陵区</w:t>
            </w:r>
          </w:p>
        </w:tc>
        <w:tc>
          <w:tcPr>
            <w:tcW w:w="250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常德市武陵区法朵食品有限公司未如实记录安全生产教育和培训情况案</w:t>
            </w:r>
          </w:p>
        </w:tc>
        <w:tc>
          <w:tcPr>
            <w:tcW w:w="6584" w:type="dxa"/>
            <w:noWrap w:val="0"/>
            <w:vAlign w:val="center"/>
          </w:tcPr>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一、案件办理程序方面</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1. 现场检查。《</w:t>
            </w:r>
            <w:r>
              <w:rPr>
                <w:rFonts w:hint="eastAsia" w:ascii="仿宋_GB2312" w:hAnsi="仿宋" w:eastAsia="仿宋_GB2312"/>
                <w:color w:val="000000"/>
                <w:sz w:val="24"/>
              </w:rPr>
              <w:t>现场检查方案</w:t>
            </w:r>
            <w:r>
              <w:rPr>
                <w:rFonts w:hint="eastAsia" w:ascii="仿宋_GB2312" w:hAnsi="仿宋" w:eastAsia="仿宋_GB2312"/>
                <w:b/>
                <w:color w:val="000000"/>
                <w:sz w:val="24"/>
              </w:rPr>
              <w:t>》</w:t>
            </w:r>
            <w:r>
              <w:rPr>
                <w:rFonts w:hint="eastAsia" w:ascii="仿宋_GB2312" w:hAnsi="仿宋" w:eastAsia="仿宋_GB2312"/>
                <w:color w:val="000000"/>
                <w:sz w:val="24"/>
              </w:rPr>
              <w:t>应由分管领导审批同意，非办案执法人员审批（-1分）;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2.文书送达。</w:t>
            </w:r>
            <w:r>
              <w:rPr>
                <w:rFonts w:hint="eastAsia" w:ascii="仿宋_GB2312" w:hAnsi="仿宋" w:eastAsia="仿宋_GB2312"/>
                <w:color w:val="000000"/>
                <w:sz w:val="24"/>
              </w:rPr>
              <w:t>（湘常武陵）安监基罚告〔2020〕wlqzxl9号和（湘常武陵）安监基罚单〔2020〕wlqzxl7号送达回执收件人属非法定代表人，未见委托书或加盖公章或注明与法定代表人关系，（-1分）；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二.执法文书制作方面</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1.规范性。</w:t>
            </w:r>
            <w:r>
              <w:rPr>
                <w:rFonts w:hint="eastAsia" w:ascii="仿宋_GB2312" w:hAnsi="仿宋" w:eastAsia="仿宋_GB2312"/>
                <w:color w:val="000000"/>
                <w:sz w:val="24"/>
              </w:rPr>
              <w:t>《现场检查记录》、《责令限期整改指令书》及《案件处理呈批表》内容有错别字，（-1分）；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color w:val="000000"/>
                <w:sz w:val="24"/>
              </w:rPr>
              <w:t>2.《行政处罚决定书》 罚款金额应大写。（-1）</w:t>
            </w: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4分</w:t>
            </w:r>
          </w:p>
        </w:tc>
        <w:tc>
          <w:tcPr>
            <w:tcW w:w="1269" w:type="dxa"/>
            <w:noWrap w:val="0"/>
            <w:vAlign w:val="center"/>
          </w:tcPr>
          <w:p>
            <w:pPr>
              <w:widowControl/>
              <w:tabs>
                <w:tab w:val="left" w:pos="1290"/>
              </w:tabs>
              <w:spacing w:line="400" w:lineRule="exact"/>
              <w:contextualSpacing/>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3" w:hRule="atLeast"/>
        </w:trPr>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2</w:t>
            </w:r>
          </w:p>
        </w:tc>
        <w:tc>
          <w:tcPr>
            <w:tcW w:w="1268"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鼎城区</w:t>
            </w:r>
          </w:p>
        </w:tc>
        <w:tc>
          <w:tcPr>
            <w:tcW w:w="250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常德金广鑫电子有限公司未建立健全生产安全事故隐患排查治理制度案</w:t>
            </w:r>
          </w:p>
        </w:tc>
        <w:tc>
          <w:tcPr>
            <w:tcW w:w="6584" w:type="dxa"/>
            <w:noWrap w:val="0"/>
            <w:vAlign w:val="center"/>
          </w:tcPr>
          <w:p>
            <w:pPr>
              <w:numPr>
                <w:ilvl w:val="0"/>
                <w:numId w:val="1"/>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案件办理程序方面</w:t>
            </w:r>
          </w:p>
          <w:p>
            <w:pPr>
              <w:numPr>
                <w:ilvl w:val="0"/>
                <w:numId w:val="2"/>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立案查处。</w:t>
            </w:r>
            <w:r>
              <w:rPr>
                <w:rFonts w:hint="eastAsia" w:ascii="仿宋_GB2312" w:hAnsi="仿宋" w:eastAsia="仿宋_GB2312"/>
                <w:color w:val="000000"/>
                <w:sz w:val="24"/>
              </w:rPr>
              <w:t>《立案审批表》案情基本情况填写简单，（-1分），承办人信息填写不全，未见审核和审批意见，（-1分）</w:t>
            </w:r>
          </w:p>
          <w:p>
            <w:pPr>
              <w:numPr>
                <w:ilvl w:val="0"/>
                <w:numId w:val="2"/>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调查取证。</w:t>
            </w:r>
            <w:r>
              <w:rPr>
                <w:rFonts w:hint="eastAsia" w:ascii="仿宋_GB2312" w:hAnsi="仿宋" w:eastAsia="仿宋_GB2312"/>
                <w:color w:val="000000"/>
                <w:sz w:val="24"/>
              </w:rPr>
              <w:t>询问笔录未询问是否需要申请回避，（-1分）</w:t>
            </w:r>
            <w:r>
              <w:rPr>
                <w:rFonts w:hint="eastAsia" w:ascii="仿宋_GB2312" w:hAnsi="仿宋" w:eastAsia="仿宋_GB2312"/>
                <w:b/>
                <w:color w:val="000000"/>
                <w:sz w:val="24"/>
              </w:rPr>
              <w:t>；</w:t>
            </w:r>
            <w:r>
              <w:rPr>
                <w:rFonts w:hint="eastAsia" w:ascii="仿宋_GB2312" w:hAnsi="仿宋" w:eastAsia="仿宋_GB2312"/>
                <w:color w:val="000000"/>
                <w:sz w:val="24"/>
              </w:rPr>
              <w:t>《案件调查报告》未将2名执法人员信息列为证据组，（-1分）；</w:t>
            </w:r>
          </w:p>
          <w:p>
            <w:pPr>
              <w:numPr>
                <w:ilvl w:val="0"/>
                <w:numId w:val="2"/>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审查决定。</w:t>
            </w:r>
            <w:r>
              <w:rPr>
                <w:rFonts w:hint="eastAsia" w:ascii="仿宋_GB2312" w:hAnsi="仿宋" w:eastAsia="仿宋_GB2312"/>
                <w:color w:val="000000"/>
                <w:sz w:val="24"/>
              </w:rPr>
              <w:t>本案处罚告知时拟处罚3000元，7月10日当事人提出减轻处罚的陈述申辩，7月17日制作《案件处理呈批表》内容写到“经过办案组讨论…”，但未见制作集体讨论记录，（-1分）；</w:t>
            </w:r>
          </w:p>
          <w:p>
            <w:pPr>
              <w:numPr>
                <w:ilvl w:val="0"/>
                <w:numId w:val="1"/>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案件办理实体方面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1.处罚告知罚款罚款叁仟元，处罚决定罚款贰仟元，未说明法定减轻理由，裁量理由不充分；（-3分）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三、</w:t>
            </w:r>
            <w:r>
              <w:rPr>
                <w:rFonts w:hint="eastAsia" w:ascii="仿宋_GB2312" w:hAnsi="仿宋" w:eastAsia="仿宋_GB2312"/>
                <w:b/>
                <w:color w:val="000000"/>
                <w:sz w:val="24"/>
              </w:rPr>
              <w:t>执法文书制作方面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1.规范性。</w:t>
            </w:r>
            <w:r>
              <w:rPr>
                <w:rFonts w:hint="eastAsia" w:ascii="仿宋_GB2312" w:hAnsi="仿宋" w:eastAsia="仿宋_GB2312"/>
                <w:color w:val="000000"/>
                <w:sz w:val="24"/>
              </w:rPr>
              <w:t>《案件调查报告》填写不规范，应引用《湖南省行政程序规定》第六十八条行政机关取证的规定的说明，（-1分）；本案执法人员于6月22日下达《责令限期整改指令书》，之后制作的《行政处罚告知》等文书中不再表述“建议责令限期整改…”，（-1分）；</w:t>
            </w:r>
          </w:p>
          <w:p>
            <w:pPr>
              <w:adjustRightInd w:val="0"/>
              <w:snapToGrid w:val="0"/>
              <w:jc w:val="left"/>
              <w:rPr>
                <w:rFonts w:hint="eastAsia" w:ascii="仿宋_GB2312" w:hAnsi="仿宋" w:eastAsia="仿宋_GB2312"/>
                <w:color w:val="000000"/>
                <w:sz w:val="24"/>
              </w:rPr>
            </w:pP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10分</w:t>
            </w:r>
          </w:p>
        </w:tc>
        <w:tc>
          <w:tcPr>
            <w:tcW w:w="1269" w:type="dxa"/>
            <w:noWrap w:val="0"/>
            <w:vAlign w:val="center"/>
          </w:tcPr>
          <w:p>
            <w:pPr>
              <w:widowControl/>
              <w:tabs>
                <w:tab w:val="left" w:pos="1290"/>
              </w:tabs>
              <w:spacing w:line="400" w:lineRule="exact"/>
              <w:contextualSpacing/>
              <w:rPr>
                <w:rFonts w:hint="eastAsia"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trPr>
        <w:tc>
          <w:tcPr>
            <w:tcW w:w="1053" w:type="dxa"/>
            <w:noWrap w:val="0"/>
            <w:vAlign w:val="top"/>
          </w:tcPr>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p>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3</w:t>
            </w:r>
          </w:p>
        </w:tc>
        <w:tc>
          <w:tcPr>
            <w:tcW w:w="1268"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汉寿县</w:t>
            </w:r>
          </w:p>
        </w:tc>
        <w:tc>
          <w:tcPr>
            <w:tcW w:w="250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汉寿县鼎源贸易有限公司洲口镇东风加油站未设置安全警示标志案</w:t>
            </w:r>
          </w:p>
        </w:tc>
        <w:tc>
          <w:tcPr>
            <w:tcW w:w="6584" w:type="dxa"/>
            <w:noWrap w:val="0"/>
            <w:vAlign w:val="top"/>
          </w:tcPr>
          <w:p>
            <w:pPr>
              <w:numPr>
                <w:ilvl w:val="0"/>
                <w:numId w:val="3"/>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案件办理程序方面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1.立案查处。</w:t>
            </w:r>
            <w:r>
              <w:rPr>
                <w:rFonts w:hint="eastAsia" w:ascii="仿宋_GB2312" w:hAnsi="仿宋" w:eastAsia="仿宋_GB2312"/>
                <w:color w:val="000000"/>
                <w:sz w:val="24"/>
              </w:rPr>
              <w:t>《责令限期整改指令书》对“没有记录7月1日隐患排查情况”等2个违法行为进行责改，但未对该违法行为进行立案，（-1分）；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2.整改复查超期。</w:t>
            </w:r>
            <w:r>
              <w:rPr>
                <w:rFonts w:hint="eastAsia" w:ascii="仿宋_GB2312" w:hAnsi="仿宋" w:eastAsia="仿宋_GB2312"/>
                <w:color w:val="000000"/>
                <w:sz w:val="24"/>
              </w:rPr>
              <w:t>《责令限期整改指令书》中对“没有记录7月1日隐患排查情况”规定整改日期为“7月6日”前，但7月22日对此违法行为整改复查，存在超期复查现象。（-2分）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color w:val="000000"/>
                <w:sz w:val="24"/>
              </w:rPr>
              <w:t>3.</w:t>
            </w:r>
            <w:r>
              <w:rPr>
                <w:rFonts w:hint="eastAsia" w:ascii="仿宋_GB2312" w:hAnsi="仿宋" w:eastAsia="仿宋_GB2312"/>
                <w:b/>
                <w:color w:val="000000"/>
                <w:sz w:val="24"/>
              </w:rPr>
              <w:t>调查取证。</w:t>
            </w:r>
            <w:r>
              <w:rPr>
                <w:rFonts w:hint="eastAsia" w:ascii="仿宋_GB2312" w:hAnsi="仿宋" w:eastAsia="仿宋_GB2312"/>
                <w:color w:val="000000"/>
                <w:sz w:val="24"/>
              </w:rPr>
              <w:t>《案件调查报告》未将2名执法人员信息列为证据组，（-1分）；本案未达到听证范围，但下达了《行政处罚听证告知书》，（-1分）；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4.审核决定。</w:t>
            </w:r>
            <w:r>
              <w:rPr>
                <w:rFonts w:hint="eastAsia" w:ascii="仿宋_GB2312" w:hAnsi="仿宋" w:eastAsia="仿宋_GB2312"/>
                <w:color w:val="000000"/>
                <w:sz w:val="24"/>
              </w:rPr>
              <w:t>《案件核审意见表》仅有审批意见，无法制审核意见，（-1分）。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二、案件办理实体方面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1.证据采信。</w:t>
            </w:r>
            <w:r>
              <w:rPr>
                <w:rFonts w:hint="eastAsia" w:ascii="仿宋_GB2312" w:hAnsi="仿宋" w:eastAsia="仿宋_GB2312"/>
                <w:color w:val="000000"/>
                <w:sz w:val="24"/>
              </w:rPr>
              <w:t>提取证据不合法、不规范，营业执照、身份证复印件均仅有1名执法人员签字，（-2分）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三、</w:t>
            </w:r>
            <w:r>
              <w:rPr>
                <w:rFonts w:hint="eastAsia" w:ascii="仿宋_GB2312" w:hAnsi="仿宋" w:eastAsia="仿宋_GB2312"/>
                <w:b/>
                <w:color w:val="000000"/>
                <w:sz w:val="24"/>
              </w:rPr>
              <w:t>执法文书制作方面</w:t>
            </w:r>
          </w:p>
          <w:p>
            <w:pPr>
              <w:widowControl/>
              <w:tabs>
                <w:tab w:val="left" w:pos="1290"/>
              </w:tabs>
              <w:spacing w:line="400" w:lineRule="exact"/>
              <w:contextualSpacing/>
              <w:jc w:val="left"/>
              <w:rPr>
                <w:rFonts w:hint="eastAsia" w:ascii="仿宋_GB2312" w:hAnsi="仿宋" w:eastAsia="仿宋_GB2312"/>
                <w:color w:val="000000"/>
                <w:sz w:val="24"/>
              </w:rPr>
            </w:pPr>
            <w:r>
              <w:rPr>
                <w:rFonts w:hint="eastAsia" w:ascii="仿宋_GB2312" w:hAnsi="仿宋" w:eastAsia="仿宋_GB2312"/>
                <w:b/>
                <w:color w:val="000000"/>
                <w:sz w:val="24"/>
              </w:rPr>
              <w:t>1.规范性。</w:t>
            </w:r>
            <w:r>
              <w:rPr>
                <w:rFonts w:hint="eastAsia" w:ascii="仿宋_GB2312" w:hAnsi="仿宋" w:eastAsia="仿宋_GB2312"/>
                <w:color w:val="000000"/>
                <w:sz w:val="24"/>
              </w:rPr>
              <w:t>“被检查单位意见”一栏应规范表述为“以上情况属实”，非“无”。（-1分）；本案执法人员于7月2日下达《责令限期整改指令书》，之后制作的《行政处罚告知》等文书中不再表述“建议责令限期整改…”，（-1分）。</w:t>
            </w: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10分</w:t>
            </w:r>
          </w:p>
        </w:tc>
        <w:tc>
          <w:tcPr>
            <w:tcW w:w="1269" w:type="dxa"/>
            <w:noWrap w:val="0"/>
            <w:vAlign w:val="center"/>
          </w:tcPr>
          <w:p>
            <w:pPr>
              <w:widowControl/>
              <w:tabs>
                <w:tab w:val="left" w:pos="1290"/>
              </w:tabs>
              <w:spacing w:line="400" w:lineRule="exact"/>
              <w:contextualSpacing/>
              <w:jc w:val="center"/>
              <w:rPr>
                <w:rFonts w:hint="eastAsia" w:ascii="仿宋_GB2312" w:hAnsi="宋体"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4</w:t>
            </w:r>
          </w:p>
        </w:tc>
        <w:tc>
          <w:tcPr>
            <w:tcW w:w="1268"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桃源县</w:t>
            </w:r>
          </w:p>
        </w:tc>
        <w:tc>
          <w:tcPr>
            <w:tcW w:w="2503" w:type="dxa"/>
            <w:noWrap w:val="0"/>
            <w:vAlign w:val="center"/>
          </w:tcPr>
          <w:p>
            <w:pPr>
              <w:widowControl/>
              <w:tabs>
                <w:tab w:val="left" w:pos="1290"/>
              </w:tabs>
              <w:spacing w:line="400" w:lineRule="exact"/>
              <w:contextualSpacing/>
              <w:rPr>
                <w:rFonts w:hint="eastAsia" w:ascii="仿宋_GB2312" w:hAnsi="仿宋" w:eastAsia="仿宋_GB2312"/>
                <w:color w:val="000000"/>
                <w:sz w:val="24"/>
              </w:rPr>
            </w:pPr>
            <w:r>
              <w:rPr>
                <w:rFonts w:hint="eastAsia" w:ascii="仿宋_GB2312" w:hAnsi="仿宋" w:eastAsia="仿宋_GB2312"/>
                <w:color w:val="000000"/>
                <w:sz w:val="24"/>
              </w:rPr>
              <w:t>张高鹏烟花爆竹店违规销售B级烟花爆竹产品案</w:t>
            </w:r>
          </w:p>
        </w:tc>
        <w:tc>
          <w:tcPr>
            <w:tcW w:w="6584" w:type="dxa"/>
            <w:noWrap w:val="0"/>
            <w:vAlign w:val="top"/>
          </w:tcPr>
          <w:p>
            <w:pPr>
              <w:numPr>
                <w:ilvl w:val="0"/>
                <w:numId w:val="4"/>
              </w:num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整改复查超期。</w:t>
            </w:r>
            <w:r>
              <w:rPr>
                <w:rFonts w:hint="eastAsia" w:ascii="仿宋_GB2312" w:hAnsi="仿宋" w:eastAsia="仿宋_GB2312"/>
                <w:color w:val="000000"/>
                <w:sz w:val="24"/>
              </w:rPr>
              <w:t>《责令限期整改指令书》中对2个违法行为规定整改时间为5月29日前，但6月19日对此违法行为整改复查，存在超期复查现象。（-2分）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color w:val="000000"/>
                <w:sz w:val="24"/>
              </w:rPr>
              <w:t>2.罚没收入未随卷归档 。（-1）</w:t>
            </w: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3分</w:t>
            </w:r>
          </w:p>
        </w:tc>
        <w:tc>
          <w:tcPr>
            <w:tcW w:w="1269" w:type="dxa"/>
            <w:noWrap w:val="0"/>
            <w:vAlign w:val="center"/>
          </w:tcPr>
          <w:p>
            <w:pPr>
              <w:widowControl/>
              <w:tabs>
                <w:tab w:val="left" w:pos="1290"/>
              </w:tabs>
              <w:spacing w:line="400" w:lineRule="exact"/>
              <w:contextualSpacing/>
              <w:jc w:val="center"/>
              <w:rPr>
                <w:rFonts w:hint="eastAsia" w:ascii="仿宋_GB2312" w:hAnsi="宋体"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5</w:t>
            </w:r>
          </w:p>
        </w:tc>
        <w:tc>
          <w:tcPr>
            <w:tcW w:w="1268" w:type="dxa"/>
            <w:noWrap w:val="0"/>
            <w:vAlign w:val="center"/>
          </w:tcPr>
          <w:p>
            <w:pPr>
              <w:widowControl/>
              <w:tabs>
                <w:tab w:val="left" w:pos="1290"/>
              </w:tabs>
              <w:spacing w:line="400" w:lineRule="exact"/>
              <w:contextualSpacing/>
              <w:rPr>
                <w:rFonts w:hint="eastAsia" w:ascii="仿宋_GB2312" w:hAnsi="仿宋" w:eastAsia="仿宋_GB2312"/>
                <w:color w:val="000000"/>
                <w:sz w:val="24"/>
              </w:rPr>
            </w:pPr>
            <w:r>
              <w:rPr>
                <w:rFonts w:hint="eastAsia" w:ascii="仿宋_GB2312" w:hAnsi="仿宋" w:eastAsia="仿宋_GB2312"/>
                <w:color w:val="000000"/>
                <w:sz w:val="24"/>
              </w:rPr>
              <w:t>石门县</w:t>
            </w:r>
          </w:p>
        </w:tc>
        <w:tc>
          <w:tcPr>
            <w:tcW w:w="2503" w:type="dxa"/>
            <w:noWrap w:val="0"/>
            <w:vAlign w:val="center"/>
          </w:tcPr>
          <w:p>
            <w:pPr>
              <w:adjustRightInd w:val="0"/>
              <w:snapToGrid w:val="0"/>
              <w:jc w:val="left"/>
              <w:rPr>
                <w:rFonts w:hint="eastAsia" w:ascii="仿宋_GB2312" w:hAnsi="仿宋" w:eastAsia="仿宋_GB2312"/>
                <w:color w:val="000000"/>
                <w:sz w:val="24"/>
              </w:rPr>
            </w:pPr>
            <w:r>
              <w:rPr>
                <w:rFonts w:hint="eastAsia" w:ascii="仿宋_GB2312" w:hAnsi="仿宋" w:eastAsia="仿宋_GB2312"/>
                <w:color w:val="000000"/>
                <w:sz w:val="24"/>
              </w:rPr>
              <w:t>常德东悦翔矿业有限公司蒙泉采石场采空区、人行通道未设置明显的安全警示标志案</w:t>
            </w:r>
          </w:p>
          <w:p>
            <w:pPr>
              <w:widowControl/>
              <w:tabs>
                <w:tab w:val="left" w:pos="1290"/>
              </w:tabs>
              <w:spacing w:line="400" w:lineRule="exact"/>
              <w:contextualSpacing/>
              <w:rPr>
                <w:rFonts w:hint="eastAsia" w:ascii="仿宋_GB2312" w:hAnsi="仿宋" w:eastAsia="仿宋_GB2312"/>
                <w:color w:val="000000"/>
                <w:sz w:val="24"/>
              </w:rPr>
            </w:pPr>
          </w:p>
        </w:tc>
        <w:tc>
          <w:tcPr>
            <w:tcW w:w="6584" w:type="dxa"/>
            <w:noWrap w:val="0"/>
            <w:vAlign w:val="top"/>
          </w:tcPr>
          <w:p>
            <w:pPr>
              <w:numPr>
                <w:ilvl w:val="0"/>
                <w:numId w:val="5"/>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案件办理程序方面</w:t>
            </w:r>
          </w:p>
          <w:p>
            <w:pPr>
              <w:numPr>
                <w:ilvl w:val="0"/>
                <w:numId w:val="6"/>
              </w:num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文书送达。</w:t>
            </w:r>
            <w:r>
              <w:rPr>
                <w:rFonts w:hint="eastAsia" w:ascii="仿宋_GB2312" w:hAnsi="仿宋" w:eastAsia="仿宋_GB2312"/>
                <w:color w:val="000000"/>
                <w:sz w:val="24"/>
              </w:rPr>
              <w:t>（湘常石门）安监非煤股回〔2020〕smxygm19号送达人仅1名执法人员签名，（-1分）；</w:t>
            </w:r>
          </w:p>
          <w:p>
            <w:pPr>
              <w:numPr>
                <w:ilvl w:val="0"/>
                <w:numId w:val="6"/>
              </w:num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调查取证。</w:t>
            </w:r>
            <w:r>
              <w:rPr>
                <w:rFonts w:hint="eastAsia" w:ascii="仿宋_GB2312" w:hAnsi="仿宋" w:eastAsia="仿宋_GB2312"/>
                <w:color w:val="000000"/>
                <w:sz w:val="24"/>
              </w:rPr>
              <w:t>《案件调查报告》未将2名执法人员信息列为证据组，（-1分）；</w:t>
            </w:r>
          </w:p>
          <w:p>
            <w:pPr>
              <w:numPr>
                <w:ilvl w:val="0"/>
                <w:numId w:val="5"/>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案件办理实体方面</w:t>
            </w:r>
          </w:p>
          <w:p>
            <w:pPr>
              <w:numPr>
                <w:ilvl w:val="0"/>
                <w:numId w:val="7"/>
              </w:numPr>
              <w:adjustRightInd w:val="0"/>
              <w:snapToGrid w:val="0"/>
              <w:jc w:val="left"/>
              <w:rPr>
                <w:rFonts w:hint="eastAsia" w:ascii="仿宋_GB2312" w:hAnsi="仿宋" w:eastAsia="仿宋_GB2312"/>
                <w:color w:val="000000"/>
                <w:sz w:val="24"/>
              </w:rPr>
            </w:pPr>
            <w:r>
              <w:rPr>
                <w:rFonts w:hint="eastAsia" w:ascii="仿宋_GB2312" w:hAnsi="仿宋" w:eastAsia="仿宋_GB2312"/>
                <w:color w:val="000000"/>
                <w:sz w:val="24"/>
              </w:rPr>
              <w:t>《行政处罚决定书》未说明证据采信理由（-1）；本案中</w:t>
            </w:r>
            <w:r>
              <w:rPr>
                <w:rFonts w:hint="eastAsia" w:ascii="仿宋_GB2312" w:hAnsi="仿宋" w:eastAsia="仿宋_GB2312"/>
                <w:color w:val="000000"/>
                <w:kern w:val="0"/>
                <w:sz w:val="24"/>
              </w:rPr>
              <w:t>适用裁量权基准表述笼统，决定裁量理由不充分</w:t>
            </w:r>
            <w:r>
              <w:rPr>
                <w:rFonts w:hint="eastAsia" w:ascii="仿宋_GB2312" w:hAnsi="仿宋" w:eastAsia="仿宋_GB2312"/>
                <w:color w:val="000000"/>
                <w:sz w:val="24"/>
              </w:rPr>
              <w:t>（-3分）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2.证据采信。</w:t>
            </w:r>
            <w:r>
              <w:rPr>
                <w:rFonts w:hint="eastAsia" w:ascii="仿宋_GB2312" w:hAnsi="仿宋" w:eastAsia="仿宋_GB2312"/>
                <w:color w:val="000000"/>
                <w:sz w:val="24"/>
              </w:rPr>
              <w:t>提取证据不合法、不规范，身份证、合格证、营业执照等复印件应注明“经核对与原件一致”字样，（-2分）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三、</w:t>
            </w:r>
            <w:r>
              <w:rPr>
                <w:rFonts w:hint="eastAsia" w:ascii="仿宋_GB2312" w:hAnsi="仿宋" w:eastAsia="仿宋_GB2312"/>
                <w:b/>
                <w:color w:val="000000"/>
                <w:sz w:val="24"/>
              </w:rPr>
              <w:t>执法文书制作方面</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1.规范性。</w:t>
            </w:r>
            <w:r>
              <w:rPr>
                <w:rFonts w:hint="eastAsia" w:ascii="仿宋_GB2312" w:hAnsi="仿宋" w:eastAsia="仿宋_GB2312"/>
                <w:color w:val="000000"/>
                <w:sz w:val="24"/>
              </w:rPr>
              <w:t xml:space="preserve">《案件调查报告》未运用证据组表述，（-1分）；《案件调查报告》填写不规范，应引用《湖南省行政程序规定》第六十八条行政机关取证的规定的说明，（-1分）；本案执法人员于7月15日下达《责令限期整改指令书》，之后制作的《行政处罚告知》等文书中不再表述“建议责令限期整改…”，（-1分）； </w:t>
            </w: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11分</w:t>
            </w:r>
          </w:p>
        </w:tc>
        <w:tc>
          <w:tcPr>
            <w:tcW w:w="1269" w:type="dxa"/>
            <w:noWrap w:val="0"/>
            <w:vAlign w:val="center"/>
          </w:tcPr>
          <w:p>
            <w:pPr>
              <w:widowControl/>
              <w:tabs>
                <w:tab w:val="left" w:pos="1290"/>
              </w:tabs>
              <w:spacing w:line="400" w:lineRule="exact"/>
              <w:contextualSpacing/>
              <w:jc w:val="center"/>
              <w:rPr>
                <w:rFonts w:hint="eastAsia" w:ascii="仿宋_GB2312" w:hAnsi="宋体"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7" w:hRule="atLeast"/>
        </w:trPr>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6</w:t>
            </w:r>
          </w:p>
        </w:tc>
        <w:tc>
          <w:tcPr>
            <w:tcW w:w="1268" w:type="dxa"/>
            <w:noWrap w:val="0"/>
            <w:vAlign w:val="center"/>
          </w:tcPr>
          <w:p>
            <w:pPr>
              <w:adjustRightInd w:val="0"/>
              <w:snapToGrid w:val="0"/>
              <w:rPr>
                <w:rFonts w:hint="eastAsia" w:ascii="仿宋_GB2312" w:hAnsi="仿宋" w:eastAsia="仿宋_GB2312"/>
                <w:color w:val="000000"/>
                <w:kern w:val="0"/>
                <w:sz w:val="24"/>
              </w:rPr>
            </w:pPr>
            <w:r>
              <w:rPr>
                <w:rFonts w:hint="eastAsia" w:ascii="仿宋_GB2312" w:hAnsi="仿宋" w:eastAsia="仿宋_GB2312"/>
                <w:color w:val="000000"/>
                <w:sz w:val="24"/>
              </w:rPr>
              <w:t>临澧</w:t>
            </w:r>
            <w:r>
              <w:rPr>
                <w:rFonts w:hint="eastAsia" w:ascii="仿宋_GB2312" w:hAnsi="仿宋" w:eastAsia="仿宋_GB2312"/>
                <w:color w:val="000000"/>
                <w:kern w:val="0"/>
                <w:sz w:val="24"/>
              </w:rPr>
              <w:t>县</w:t>
            </w:r>
          </w:p>
        </w:tc>
        <w:tc>
          <w:tcPr>
            <w:tcW w:w="2503" w:type="dxa"/>
            <w:noWrap w:val="0"/>
            <w:vAlign w:val="center"/>
          </w:tcPr>
          <w:p>
            <w:pPr>
              <w:adjustRightInd w:val="0"/>
              <w:snapToGrid w:val="0"/>
              <w:jc w:val="center"/>
              <w:rPr>
                <w:rFonts w:hint="eastAsia" w:ascii="仿宋_GB2312" w:hAnsi="仿宋" w:eastAsia="仿宋_GB2312"/>
                <w:color w:val="000000"/>
                <w:kern w:val="0"/>
                <w:sz w:val="24"/>
              </w:rPr>
            </w:pPr>
          </w:p>
          <w:p>
            <w:pPr>
              <w:adjustRightInd w:val="0"/>
              <w:snapToGrid w:val="0"/>
              <w:jc w:val="center"/>
              <w:rPr>
                <w:rFonts w:hint="eastAsia" w:ascii="仿宋_GB2312" w:hAnsi="仿宋" w:eastAsia="仿宋_GB2312"/>
                <w:color w:val="000000"/>
                <w:kern w:val="0"/>
                <w:sz w:val="24"/>
              </w:rPr>
            </w:pPr>
          </w:p>
          <w:p>
            <w:pPr>
              <w:adjustRightInd w:val="0"/>
              <w:snapToGrid w:val="0"/>
              <w:jc w:val="center"/>
              <w:rPr>
                <w:rFonts w:hint="eastAsia" w:ascii="仿宋_GB2312" w:hAnsi="仿宋" w:eastAsia="仿宋_GB2312"/>
                <w:color w:val="000000"/>
                <w:kern w:val="0"/>
                <w:sz w:val="24"/>
              </w:rPr>
            </w:pPr>
          </w:p>
          <w:p>
            <w:pPr>
              <w:adjustRightInd w:val="0"/>
              <w:snapToGrid w:val="0"/>
              <w:jc w:val="center"/>
              <w:rPr>
                <w:rFonts w:hint="eastAsia" w:ascii="仿宋_GB2312" w:hAnsi="仿宋" w:eastAsia="仿宋_GB2312"/>
                <w:color w:val="000000"/>
                <w:kern w:val="0"/>
                <w:sz w:val="24"/>
              </w:rPr>
            </w:pPr>
            <w:r>
              <w:rPr>
                <w:rFonts w:hint="eastAsia" w:ascii="仿宋_GB2312" w:hAnsi="仿宋" w:eastAsia="仿宋_GB2312"/>
                <w:color w:val="000000"/>
                <w:kern w:val="0"/>
                <w:sz w:val="24"/>
              </w:rPr>
              <w:t>临澧县胡家湾建材有限公司未在临崖危险区域设置安全警示标志和使用淘汰的开采工艺案</w:t>
            </w:r>
          </w:p>
          <w:p>
            <w:pPr>
              <w:adjustRightInd w:val="0"/>
              <w:snapToGrid w:val="0"/>
              <w:jc w:val="center"/>
              <w:rPr>
                <w:rFonts w:hint="eastAsia" w:ascii="仿宋_GB2312" w:hAnsi="仿宋" w:eastAsia="仿宋_GB2312"/>
                <w:color w:val="000000"/>
                <w:kern w:val="0"/>
                <w:sz w:val="24"/>
              </w:rPr>
            </w:pPr>
          </w:p>
        </w:tc>
        <w:tc>
          <w:tcPr>
            <w:tcW w:w="6584" w:type="dxa"/>
            <w:noWrap w:val="0"/>
            <w:vAlign w:val="top"/>
          </w:tcPr>
          <w:p>
            <w:pPr>
              <w:adjustRightInd w:val="0"/>
              <w:snapToGrid w:val="0"/>
              <w:jc w:val="left"/>
              <w:rPr>
                <w:rFonts w:hint="eastAsia" w:ascii="仿宋_GB2312" w:hAnsi="仿宋" w:eastAsia="仿宋_GB2312"/>
                <w:b/>
                <w:color w:val="000000"/>
                <w:sz w:val="24"/>
              </w:rPr>
            </w:pP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一、案件办理程序方面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1、立案查处。</w:t>
            </w:r>
            <w:r>
              <w:rPr>
                <w:rFonts w:hint="eastAsia" w:ascii="仿宋_GB2312" w:hAnsi="仿宋" w:eastAsia="仿宋_GB2312"/>
                <w:color w:val="000000"/>
                <w:sz w:val="24"/>
              </w:rPr>
              <w:t>未对《责令限期整改指令书》中前3个违法行为进行立案，（-1分）；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2.调查取证。</w:t>
            </w:r>
            <w:r>
              <w:rPr>
                <w:rFonts w:hint="eastAsia" w:ascii="仿宋_GB2312" w:hAnsi="仿宋" w:eastAsia="仿宋_GB2312"/>
                <w:color w:val="000000"/>
                <w:sz w:val="24"/>
              </w:rPr>
              <w:t>《案件调查报告》未将2名执法人员信息列为证据组，（-1分）；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4.审核决定。</w:t>
            </w:r>
            <w:r>
              <w:rPr>
                <w:rFonts w:hint="eastAsia" w:ascii="仿宋_GB2312" w:hAnsi="仿宋" w:eastAsia="仿宋_GB2312"/>
                <w:color w:val="000000"/>
                <w:sz w:val="24"/>
              </w:rPr>
              <w:t>《案件处理呈批表》、《结案审批表》中审查和审批为同一人（-1分）。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二、</w:t>
            </w:r>
            <w:r>
              <w:rPr>
                <w:rFonts w:hint="eastAsia" w:ascii="仿宋_GB2312" w:hAnsi="仿宋" w:eastAsia="仿宋_GB2312"/>
                <w:b/>
                <w:color w:val="000000"/>
                <w:sz w:val="24"/>
              </w:rPr>
              <w:t>案件办理实体方面</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1.证据采信。</w:t>
            </w:r>
            <w:r>
              <w:rPr>
                <w:rFonts w:hint="eastAsia" w:ascii="仿宋_GB2312" w:hAnsi="仿宋" w:eastAsia="仿宋_GB2312"/>
                <w:color w:val="000000"/>
                <w:sz w:val="24"/>
              </w:rPr>
              <w:t>提取证据不合法、不规范，合格证等复印件应注明“与原件核对一致”。（-2分）</w:t>
            </w:r>
          </w:p>
          <w:p>
            <w:pPr>
              <w:adjustRightInd w:val="0"/>
              <w:snapToGrid w:val="0"/>
              <w:jc w:val="left"/>
              <w:rPr>
                <w:rFonts w:hint="eastAsia" w:ascii="仿宋_GB2312" w:hAnsi="仿宋" w:eastAsia="仿宋_GB2312"/>
                <w:color w:val="000000"/>
                <w:kern w:val="0"/>
                <w:sz w:val="24"/>
              </w:rPr>
            </w:pPr>
            <w:r>
              <w:rPr>
                <w:rFonts w:hint="eastAsia" w:ascii="仿宋_GB2312" w:hAnsi="仿宋" w:eastAsia="仿宋_GB2312"/>
                <w:color w:val="000000"/>
                <w:sz w:val="24"/>
              </w:rPr>
              <w:t>2.法律适用方面。该公司涉及到两个违法行为</w:t>
            </w:r>
            <w:r>
              <w:rPr>
                <w:rFonts w:hint="eastAsia" w:ascii="仿宋_GB2312" w:hAnsi="仿宋" w:eastAsia="仿宋_GB2312"/>
                <w:color w:val="000000"/>
                <w:kern w:val="0"/>
                <w:sz w:val="24"/>
              </w:rPr>
              <w:t>没有分别裁量。（-3）</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kern w:val="0"/>
                <w:sz w:val="24"/>
              </w:rPr>
              <w:t>3.裁量理由不充分。本案中适用的裁量基准是“未在构成四级重大危险源及其以外的较大危险因素的生产经营场所和有关设施、设备上设置明显的安全警示标志的，责令限期改正，可以处少于二万元的罚款”，本案中未有证据证明临崖危险区域构成四级重大危险源，因此裁量理由不充分。（-3）</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三、</w:t>
            </w:r>
            <w:r>
              <w:rPr>
                <w:rFonts w:hint="eastAsia" w:ascii="仿宋_GB2312" w:hAnsi="仿宋" w:eastAsia="仿宋_GB2312"/>
                <w:b/>
                <w:color w:val="000000"/>
                <w:sz w:val="24"/>
              </w:rPr>
              <w:t>执法文书制作方面</w:t>
            </w:r>
          </w:p>
          <w:p>
            <w:pPr>
              <w:pStyle w:val="2"/>
              <w:spacing w:before="0" w:beforeAutospacing="0" w:after="312" w:afterLines="100" w:afterAutospacing="0" w:line="440" w:lineRule="exact"/>
              <w:rPr>
                <w:rFonts w:hint="eastAsia" w:ascii="仿宋_GB2312" w:hAnsi="仿宋" w:eastAsia="仿宋_GB2312" w:cs="Times New Roman"/>
                <w:color w:val="000000"/>
                <w:kern w:val="2"/>
              </w:rPr>
            </w:pPr>
            <w:r>
              <w:rPr>
                <w:rFonts w:hint="eastAsia" w:ascii="仿宋_GB2312" w:hAnsi="仿宋" w:eastAsia="仿宋_GB2312"/>
                <w:b/>
                <w:color w:val="000000"/>
              </w:rPr>
              <w:t>1.规范性。</w:t>
            </w:r>
            <w:r>
              <w:rPr>
                <w:rFonts w:hint="eastAsia" w:ascii="仿宋_GB2312" w:hAnsi="仿宋" w:eastAsia="仿宋_GB2312" w:cs="Times New Roman"/>
                <w:color w:val="000000"/>
                <w:kern w:val="2"/>
              </w:rPr>
              <w:t>表述不准确，根据《中华人民共和国安全生产法》第三十八条规定，标准表述为“未向从业人员通报”，非“公示”，公示是通报方式的一种。（-1分）</w:t>
            </w: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12分</w:t>
            </w:r>
          </w:p>
        </w:tc>
        <w:tc>
          <w:tcPr>
            <w:tcW w:w="1269" w:type="dxa"/>
            <w:noWrap w:val="0"/>
            <w:vAlign w:val="center"/>
          </w:tcPr>
          <w:p>
            <w:pPr>
              <w:widowControl/>
              <w:tabs>
                <w:tab w:val="left" w:pos="1290"/>
              </w:tabs>
              <w:spacing w:line="400" w:lineRule="exact"/>
              <w:contextualSpacing/>
              <w:jc w:val="center"/>
              <w:rPr>
                <w:rFonts w:hint="eastAsia" w:ascii="仿宋_GB2312" w:hAnsi="宋体"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0" w:hRule="atLeast"/>
        </w:trPr>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7</w:t>
            </w:r>
          </w:p>
        </w:tc>
        <w:tc>
          <w:tcPr>
            <w:tcW w:w="1268" w:type="dxa"/>
            <w:noWrap w:val="0"/>
            <w:vAlign w:val="center"/>
          </w:tcPr>
          <w:p>
            <w:pPr>
              <w:adjustRightInd w:val="0"/>
              <w:snapToGrid w:val="0"/>
              <w:rPr>
                <w:rFonts w:hint="eastAsia" w:ascii="仿宋_GB2312" w:hAnsi="仿宋" w:eastAsia="仿宋_GB2312"/>
                <w:color w:val="000000"/>
                <w:kern w:val="0"/>
                <w:sz w:val="24"/>
              </w:rPr>
            </w:pPr>
            <w:r>
              <w:rPr>
                <w:rFonts w:hint="eastAsia" w:ascii="仿宋_GB2312" w:hAnsi="仿宋" w:eastAsia="仿宋_GB2312"/>
                <w:color w:val="000000"/>
                <w:kern w:val="0"/>
                <w:sz w:val="24"/>
              </w:rPr>
              <w:t>澧县</w:t>
            </w:r>
          </w:p>
        </w:tc>
        <w:tc>
          <w:tcPr>
            <w:tcW w:w="2503" w:type="dxa"/>
            <w:noWrap w:val="0"/>
            <w:vAlign w:val="center"/>
          </w:tcPr>
          <w:p>
            <w:pPr>
              <w:adjustRightInd w:val="0"/>
              <w:snapToGrid w:val="0"/>
              <w:jc w:val="center"/>
              <w:rPr>
                <w:rFonts w:hint="eastAsia" w:ascii="仿宋_GB2312" w:hAnsi="仿宋" w:eastAsia="仿宋_GB2312"/>
                <w:color w:val="000000"/>
                <w:kern w:val="0"/>
                <w:sz w:val="24"/>
              </w:rPr>
            </w:pPr>
            <w:r>
              <w:rPr>
                <w:rFonts w:hint="eastAsia" w:ascii="仿宋_GB2312" w:hAnsi="仿宋" w:eastAsia="仿宋_GB2312"/>
                <w:color w:val="000000"/>
                <w:kern w:val="0"/>
                <w:sz w:val="24"/>
              </w:rPr>
              <w:t>澧县恒瑞页岩新型建筑材料厂未按规定制定安全生产安全事故应急救援预案案</w:t>
            </w:r>
          </w:p>
          <w:p>
            <w:pPr>
              <w:adjustRightInd w:val="0"/>
              <w:snapToGrid w:val="0"/>
              <w:jc w:val="center"/>
              <w:rPr>
                <w:rFonts w:hint="eastAsia" w:ascii="仿宋_GB2312" w:hAnsi="仿宋" w:eastAsia="仿宋_GB2312"/>
                <w:color w:val="000000"/>
                <w:kern w:val="0"/>
                <w:sz w:val="24"/>
              </w:rPr>
            </w:pPr>
          </w:p>
        </w:tc>
        <w:tc>
          <w:tcPr>
            <w:tcW w:w="6584" w:type="dxa"/>
            <w:noWrap w:val="0"/>
            <w:vAlign w:val="center"/>
          </w:tcPr>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一、案件办理程序方面</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1. 现场检查。《</w:t>
            </w:r>
            <w:r>
              <w:rPr>
                <w:rFonts w:hint="eastAsia" w:ascii="仿宋_GB2312" w:hAnsi="仿宋" w:eastAsia="仿宋_GB2312"/>
                <w:color w:val="000000"/>
                <w:sz w:val="24"/>
              </w:rPr>
              <w:t>现场检查方案</w:t>
            </w:r>
            <w:r>
              <w:rPr>
                <w:rFonts w:hint="eastAsia" w:ascii="仿宋_GB2312" w:hAnsi="仿宋" w:eastAsia="仿宋_GB2312"/>
                <w:b/>
                <w:color w:val="000000"/>
                <w:sz w:val="24"/>
              </w:rPr>
              <w:t>》</w:t>
            </w:r>
            <w:r>
              <w:rPr>
                <w:rFonts w:hint="eastAsia" w:ascii="仿宋_GB2312" w:hAnsi="仿宋" w:eastAsia="仿宋_GB2312"/>
                <w:color w:val="000000"/>
                <w:sz w:val="24"/>
              </w:rPr>
              <w:t>应由分管领导审批同意，非办案执法人员审批（-1分）;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2、文书送达。</w:t>
            </w:r>
            <w:r>
              <w:rPr>
                <w:rFonts w:hint="eastAsia" w:ascii="仿宋_GB2312" w:hAnsi="仿宋" w:eastAsia="仿宋_GB2312"/>
                <w:color w:val="000000"/>
                <w:sz w:val="24"/>
              </w:rPr>
              <w:t>（湘常澧县）安监工贸股回〔2020〕lxxuefeng22号送达回执仅1名执法人员签字，（-1分）；（湘常澧县）安监工贸股回〔2020〕lxxuefeng24号_1收件人属非法定代表人，未见委托书或加盖公章或注明与法定代表人关系，（-1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3.调查取证。</w:t>
            </w:r>
            <w:r>
              <w:rPr>
                <w:rFonts w:hint="eastAsia" w:ascii="仿宋_GB2312" w:hAnsi="仿宋" w:eastAsia="仿宋_GB2312"/>
                <w:color w:val="000000"/>
                <w:sz w:val="24"/>
              </w:rPr>
              <w:t>询问笔录未询问是否需要申请回避，（-1分）</w:t>
            </w:r>
            <w:r>
              <w:rPr>
                <w:rFonts w:hint="eastAsia" w:ascii="仿宋_GB2312" w:hAnsi="仿宋" w:eastAsia="仿宋_GB2312"/>
                <w:b/>
                <w:color w:val="000000"/>
                <w:sz w:val="24"/>
              </w:rPr>
              <w:t>；</w:t>
            </w:r>
            <w:r>
              <w:rPr>
                <w:rFonts w:hint="eastAsia" w:ascii="仿宋_GB2312" w:hAnsi="仿宋" w:eastAsia="仿宋_GB2312"/>
                <w:color w:val="000000"/>
                <w:sz w:val="24"/>
              </w:rPr>
              <w:t>《案件调查报告》未将2名执法人员信息列为证据组，（-1分）；</w:t>
            </w:r>
          </w:p>
          <w:p>
            <w:pPr>
              <w:adjustRightInd w:val="0"/>
              <w:snapToGrid w:val="0"/>
              <w:jc w:val="left"/>
              <w:rPr>
                <w:rFonts w:hint="eastAsia" w:ascii="仿宋_GB2312" w:hAnsi="仿宋" w:eastAsia="仿宋_GB2312"/>
                <w:color w:val="000000"/>
                <w:sz w:val="24"/>
              </w:rPr>
            </w:pPr>
            <w:r>
              <w:rPr>
                <w:rFonts w:hint="eastAsia" w:ascii="仿宋_GB2312" w:hAnsi="仿宋" w:eastAsia="仿宋_GB2312"/>
                <w:color w:val="000000"/>
                <w:sz w:val="24"/>
              </w:rPr>
              <w:t>4.当事人未在规定时间进行陈述申辩。本案中当事人于6月30日收到处罚告知，应当自收到之日起3日内进行陈述申辩。本案中当事人陈述申辩期已过，执法机关做了陈述申辩笔录。（-1）</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二、案件办理实体方面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1.裁量理由不充分。</w:t>
            </w:r>
            <w:r>
              <w:rPr>
                <w:rFonts w:hint="eastAsia" w:ascii="仿宋_GB2312" w:hAnsi="仿宋" w:eastAsia="仿宋_GB2312"/>
                <w:color w:val="000000"/>
                <w:sz w:val="24"/>
              </w:rPr>
              <w:t>根据裁量权基准：未按照规定制定生产安全事故应急救援预案的。处罚基准：其从业人员100人以下的，可处一万元以下的罚款；本案中对当当事人罚款1万元，在这个裁量基准幅度内属于上限处罚，但未进行充分说理。（-3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三、</w:t>
            </w:r>
            <w:r>
              <w:rPr>
                <w:rFonts w:hint="eastAsia" w:ascii="仿宋_GB2312" w:hAnsi="仿宋" w:eastAsia="仿宋_GB2312"/>
                <w:b/>
                <w:color w:val="000000"/>
                <w:sz w:val="24"/>
              </w:rPr>
              <w:t>执法文书制作方面</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1.规范性。</w:t>
            </w:r>
            <w:r>
              <w:rPr>
                <w:rFonts w:hint="eastAsia" w:ascii="仿宋_GB2312" w:hAnsi="仿宋" w:eastAsia="仿宋_GB2312"/>
                <w:color w:val="000000"/>
                <w:sz w:val="24"/>
              </w:rPr>
              <w:t>《现场检查记录》记录不具体，比如何时开展了几次教育培训，抽查的哪名特种作业人员，具体证件信息是什么（-1分）；本案执法人员于6月22日下达《责令限期整改指令书》，之后制作的《行政处罚告知》等文书中不再表述“建议责令限期整改…”，（-1分）。</w:t>
            </w:r>
          </w:p>
          <w:p>
            <w:pPr>
              <w:adjustRightInd w:val="0"/>
              <w:snapToGrid w:val="0"/>
              <w:rPr>
                <w:rFonts w:hint="eastAsia" w:ascii="仿宋_GB2312" w:hAnsi="仿宋" w:eastAsia="仿宋_GB2312"/>
                <w:color w:val="000000"/>
                <w:sz w:val="24"/>
              </w:rPr>
            </w:pP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12分</w:t>
            </w:r>
          </w:p>
        </w:tc>
        <w:tc>
          <w:tcPr>
            <w:tcW w:w="1269" w:type="dxa"/>
            <w:noWrap w:val="0"/>
            <w:vAlign w:val="center"/>
          </w:tcPr>
          <w:p>
            <w:pPr>
              <w:widowControl/>
              <w:tabs>
                <w:tab w:val="left" w:pos="1290"/>
              </w:tabs>
              <w:spacing w:line="400" w:lineRule="exact"/>
              <w:contextualSpacing/>
              <w:jc w:val="center"/>
              <w:rPr>
                <w:rFonts w:hint="eastAsia" w:ascii="仿宋_GB2312" w:hAnsi="宋体"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8</w:t>
            </w:r>
          </w:p>
        </w:tc>
        <w:tc>
          <w:tcPr>
            <w:tcW w:w="1268" w:type="dxa"/>
            <w:noWrap w:val="0"/>
            <w:vAlign w:val="center"/>
          </w:tcPr>
          <w:p>
            <w:pPr>
              <w:adjustRightInd w:val="0"/>
              <w:snapToGrid w:val="0"/>
              <w:rPr>
                <w:rFonts w:hint="eastAsia" w:ascii="仿宋_GB2312" w:hAnsi="仿宋" w:eastAsia="仿宋_GB2312"/>
                <w:color w:val="000000"/>
                <w:kern w:val="0"/>
                <w:sz w:val="24"/>
              </w:rPr>
            </w:pPr>
            <w:r>
              <w:rPr>
                <w:rFonts w:hint="eastAsia" w:ascii="仿宋_GB2312" w:hAnsi="仿宋" w:eastAsia="仿宋_GB2312"/>
                <w:color w:val="000000"/>
                <w:kern w:val="0"/>
                <w:sz w:val="24"/>
              </w:rPr>
              <w:t>安乡县</w:t>
            </w:r>
          </w:p>
        </w:tc>
        <w:tc>
          <w:tcPr>
            <w:tcW w:w="2503" w:type="dxa"/>
            <w:noWrap w:val="0"/>
            <w:vAlign w:val="center"/>
          </w:tcPr>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安乡县宇林加油站未建立安全管理机构、安全设备未定期维护案</w:t>
            </w:r>
          </w:p>
        </w:tc>
        <w:tc>
          <w:tcPr>
            <w:tcW w:w="6584" w:type="dxa"/>
            <w:noWrap w:val="0"/>
            <w:vAlign w:val="top"/>
          </w:tcPr>
          <w:p>
            <w:pPr>
              <w:numPr>
                <w:ilvl w:val="0"/>
                <w:numId w:val="8"/>
              </w:num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案件办理程序方面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1.调查取证。</w:t>
            </w:r>
            <w:r>
              <w:rPr>
                <w:rFonts w:hint="eastAsia" w:ascii="仿宋_GB2312" w:hAnsi="仿宋" w:eastAsia="仿宋_GB2312"/>
                <w:color w:val="000000"/>
                <w:sz w:val="24"/>
              </w:rPr>
              <w:t>本案未达到听证范围，但下达了《行政处罚听证告知书》，（-1分）；《案件调查报告》未将2名执法人员信息列为证据组，（-1分）；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二、案件办理实体方面</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b/>
                <w:color w:val="000000"/>
                <w:sz w:val="24"/>
              </w:rPr>
              <w:t>1.法律适用错误。</w:t>
            </w:r>
            <w:r>
              <w:rPr>
                <w:rFonts w:hint="eastAsia" w:ascii="仿宋_GB2312" w:hAnsi="仿宋" w:eastAsia="仿宋_GB2312"/>
                <w:color w:val="000000"/>
                <w:sz w:val="24"/>
              </w:rPr>
              <w:t>本案中该加油站配备了专职安全员，设置了安全管理机构，只是未及时更新安全管理机构中的人员。不适用《安全生产法》</w:t>
            </w:r>
            <w:r>
              <w:rPr>
                <w:rFonts w:hint="eastAsia" w:ascii="仿宋_GB2312" w:hAnsi="仿宋" w:eastAsia="仿宋_GB2312"/>
                <w:color w:val="000000"/>
              </w:rPr>
              <w:t>第九十四条</w:t>
            </w:r>
            <w:r>
              <w:rPr>
                <w:rFonts w:hint="eastAsia" w:ascii="微软雅黑" w:hAnsi="微软雅黑" w:eastAsia="仿宋_GB2312"/>
                <w:color w:val="000000"/>
              </w:rPr>
              <w:t> </w:t>
            </w:r>
            <w:r>
              <w:rPr>
                <w:rFonts w:hint="eastAsia" w:ascii="仿宋_GB2312" w:hAnsi="微软雅黑" w:eastAsia="仿宋_GB2312"/>
                <w:color w:val="000000"/>
              </w:rPr>
              <w:t>“</w:t>
            </w:r>
            <w:r>
              <w:rPr>
                <w:rFonts w:hint="eastAsia" w:ascii="仿宋_GB2312" w:hAnsi="仿宋" w:eastAsia="仿宋_GB2312"/>
                <w:color w:val="000000"/>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对该加油站罚款伍仟元。（-3）</w:t>
            </w:r>
          </w:p>
          <w:p>
            <w:pPr>
              <w:adjustRightInd w:val="0"/>
              <w:snapToGrid w:val="0"/>
              <w:jc w:val="left"/>
              <w:rPr>
                <w:rFonts w:hint="eastAsia" w:ascii="仿宋_GB2312" w:hAnsi="仿宋" w:eastAsia="仿宋_GB2312"/>
                <w:color w:val="000000"/>
                <w:sz w:val="24"/>
              </w:rPr>
            </w:pPr>
            <w:r>
              <w:rPr>
                <w:rFonts w:hint="eastAsia" w:ascii="仿宋_GB2312" w:hAnsi="仿宋" w:eastAsia="仿宋_GB2312"/>
                <w:color w:val="000000"/>
                <w:sz w:val="24"/>
              </w:rPr>
              <w:t>2</w:t>
            </w:r>
            <w:r>
              <w:rPr>
                <w:rFonts w:hint="eastAsia" w:ascii="仿宋_GB2312" w:hAnsi="仿宋" w:eastAsia="仿宋_GB2312"/>
                <w:b/>
                <w:color w:val="000000"/>
                <w:sz w:val="24"/>
              </w:rPr>
              <w:t>.裁量权</w:t>
            </w:r>
            <w:r>
              <w:rPr>
                <w:rFonts w:hint="eastAsia" w:ascii="仿宋_GB2312" w:hAnsi="仿宋" w:eastAsia="仿宋_GB2312"/>
                <w:color w:val="000000"/>
                <w:sz w:val="24"/>
              </w:rPr>
              <w:t>。对第二个违法行为裁量说理不充分，未有证据证明该加油站有几台防雷装置。（-3分）</w:t>
            </w:r>
          </w:p>
          <w:p>
            <w:pPr>
              <w:adjustRightInd w:val="0"/>
              <w:snapToGrid w:val="0"/>
              <w:jc w:val="left"/>
              <w:rPr>
                <w:rFonts w:hint="eastAsia" w:ascii="仿宋_GB2312" w:hAnsi="仿宋" w:eastAsia="仿宋_GB2312"/>
                <w:b/>
                <w:color w:val="000000"/>
                <w:sz w:val="24"/>
              </w:rPr>
            </w:pPr>
            <w:r>
              <w:rPr>
                <w:rFonts w:hint="eastAsia" w:ascii="仿宋_GB2312" w:hAnsi="仿宋" w:eastAsia="仿宋_GB2312"/>
                <w:color w:val="000000"/>
                <w:sz w:val="24"/>
              </w:rPr>
              <w:t>三、</w:t>
            </w:r>
            <w:r>
              <w:rPr>
                <w:rFonts w:hint="eastAsia" w:ascii="仿宋_GB2312" w:hAnsi="仿宋" w:eastAsia="仿宋_GB2312"/>
                <w:b/>
                <w:color w:val="000000"/>
                <w:sz w:val="24"/>
              </w:rPr>
              <w:t>执法文书制作方面</w:t>
            </w:r>
          </w:p>
          <w:p>
            <w:pPr>
              <w:adjustRightInd w:val="0"/>
              <w:snapToGrid w:val="0"/>
              <w:jc w:val="left"/>
              <w:rPr>
                <w:rFonts w:hint="eastAsia" w:ascii="仿宋_GB2312" w:hAnsi="仿宋" w:eastAsia="仿宋_GB2312"/>
                <w:color w:val="000000"/>
                <w:sz w:val="24"/>
              </w:rPr>
            </w:pPr>
            <w:r>
              <w:rPr>
                <w:rFonts w:hint="eastAsia" w:ascii="仿宋_GB2312" w:hAnsi="仿宋" w:eastAsia="仿宋_GB2312"/>
                <w:b/>
                <w:color w:val="000000"/>
                <w:sz w:val="24"/>
              </w:rPr>
              <w:t>1.规范性。</w:t>
            </w:r>
            <w:r>
              <w:rPr>
                <w:rFonts w:hint="eastAsia" w:ascii="仿宋_GB2312" w:hAnsi="仿宋" w:eastAsia="仿宋_GB2312"/>
                <w:color w:val="000000"/>
                <w:sz w:val="24"/>
              </w:rPr>
              <w:t>《行政处罚集体讨论记录》仅对罚款金额合理性进行讨论，未对违法主体是否适格、程序是否合法、法律适用是否适当进行讨论。（-1分）</w:t>
            </w: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9分</w:t>
            </w:r>
          </w:p>
        </w:tc>
        <w:tc>
          <w:tcPr>
            <w:tcW w:w="1269" w:type="dxa"/>
            <w:noWrap w:val="0"/>
            <w:vAlign w:val="center"/>
          </w:tcPr>
          <w:p>
            <w:pPr>
              <w:widowControl/>
              <w:tabs>
                <w:tab w:val="left" w:pos="1290"/>
              </w:tabs>
              <w:spacing w:line="400" w:lineRule="exact"/>
              <w:contextualSpacing/>
              <w:jc w:val="center"/>
              <w:rPr>
                <w:rFonts w:hint="eastAsia" w:ascii="仿宋_GB2312" w:hAnsi="宋体"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3"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9</w:t>
            </w:r>
          </w:p>
        </w:tc>
        <w:tc>
          <w:tcPr>
            <w:tcW w:w="1268" w:type="dxa"/>
            <w:noWrap w:val="0"/>
            <w:vAlign w:val="center"/>
          </w:tcPr>
          <w:p>
            <w:pPr>
              <w:adjustRightInd w:val="0"/>
              <w:snapToGrid w:val="0"/>
              <w:rPr>
                <w:rFonts w:hint="eastAsia" w:ascii="仿宋_GB2312" w:hAnsi="仿宋" w:eastAsia="仿宋_GB2312"/>
                <w:color w:val="000000"/>
                <w:kern w:val="0"/>
                <w:sz w:val="24"/>
              </w:rPr>
            </w:pPr>
            <w:r>
              <w:rPr>
                <w:rFonts w:hint="eastAsia" w:ascii="仿宋_GB2312" w:hAnsi="仿宋" w:eastAsia="仿宋_GB2312"/>
                <w:color w:val="000000"/>
                <w:kern w:val="0"/>
                <w:sz w:val="24"/>
              </w:rPr>
              <w:t>津市</w:t>
            </w:r>
          </w:p>
        </w:tc>
        <w:tc>
          <w:tcPr>
            <w:tcW w:w="2503" w:type="dxa"/>
            <w:noWrap w:val="0"/>
            <w:vAlign w:val="center"/>
          </w:tcPr>
          <w:p>
            <w:pPr>
              <w:adjustRightInd w:val="0"/>
              <w:snapToGrid w:val="0"/>
              <w:jc w:val="center"/>
              <w:rPr>
                <w:rFonts w:hint="eastAsia" w:ascii="仿宋_GB2312" w:hAnsi="仿宋" w:eastAsia="仿宋_GB2312"/>
                <w:color w:val="000000"/>
                <w:kern w:val="0"/>
                <w:sz w:val="24"/>
              </w:rPr>
            </w:pPr>
            <w:r>
              <w:rPr>
                <w:rFonts w:hint="eastAsia" w:ascii="仿宋_GB2312" w:hAnsi="仿宋" w:eastAsia="仿宋_GB2312"/>
                <w:color w:val="000000"/>
                <w:kern w:val="0"/>
                <w:sz w:val="24"/>
              </w:rPr>
              <w:t>津市市天颐气体有限责任公司未如实记录事故隐患排查治理情况案</w:t>
            </w:r>
          </w:p>
        </w:tc>
        <w:tc>
          <w:tcPr>
            <w:tcW w:w="6584" w:type="dxa"/>
            <w:noWrap w:val="0"/>
            <w:vAlign w:val="top"/>
          </w:tcPr>
          <w:p>
            <w:pPr>
              <w:adjustRightInd w:val="0"/>
              <w:snapToGrid w:val="0"/>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1.证据方面。未将本案中的营业执照、身份证复印件、整改到位证据、罚没收入票据复印件等上传至执法管理系统。（-5）</w:t>
            </w:r>
          </w:p>
          <w:p>
            <w:pPr>
              <w:adjustRightInd w:val="0"/>
              <w:snapToGrid w:val="0"/>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2.行政处罚决定书未说明当事人陈述申辩情况。（-1）</w:t>
            </w:r>
          </w:p>
          <w:p>
            <w:pPr>
              <w:adjustRightInd w:val="0"/>
              <w:snapToGrid w:val="0"/>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3.本案未及时归档。（-1）</w:t>
            </w:r>
          </w:p>
          <w:p>
            <w:pPr>
              <w:adjustRightInd w:val="0"/>
              <w:snapToGrid w:val="0"/>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4.《案件核审意见表》、《行政处罚决定书》等文书中法定代表人职务填写错误。（-1）</w:t>
            </w:r>
          </w:p>
        </w:tc>
        <w:tc>
          <w:tcPr>
            <w:tcW w:w="790" w:type="dxa"/>
            <w:noWrap w:val="0"/>
            <w:vAlign w:val="center"/>
          </w:tcPr>
          <w:p>
            <w:pPr>
              <w:widowControl/>
              <w:tabs>
                <w:tab w:val="left" w:pos="1290"/>
              </w:tabs>
              <w:spacing w:line="400" w:lineRule="exact"/>
              <w:contextualSpacing/>
              <w:jc w:val="center"/>
              <w:rPr>
                <w:rFonts w:hint="eastAsia" w:ascii="仿宋_GB2312" w:hAnsi="仿宋" w:eastAsia="仿宋_GB2312"/>
                <w:color w:val="000000"/>
                <w:sz w:val="24"/>
              </w:rPr>
            </w:pPr>
            <w:r>
              <w:rPr>
                <w:rFonts w:hint="eastAsia" w:ascii="仿宋_GB2312" w:hAnsi="仿宋" w:eastAsia="仿宋_GB2312"/>
                <w:color w:val="000000"/>
                <w:sz w:val="24"/>
              </w:rPr>
              <w:t>8分</w:t>
            </w:r>
          </w:p>
        </w:tc>
        <w:tc>
          <w:tcPr>
            <w:tcW w:w="1269" w:type="dxa"/>
            <w:noWrap w:val="0"/>
            <w:vAlign w:val="center"/>
          </w:tcPr>
          <w:p>
            <w:pPr>
              <w:widowControl/>
              <w:tabs>
                <w:tab w:val="left" w:pos="1290"/>
              </w:tabs>
              <w:spacing w:line="400" w:lineRule="exact"/>
              <w:contextualSpacing/>
              <w:jc w:val="center"/>
              <w:rPr>
                <w:rFonts w:hint="eastAsia" w:ascii="仿宋_GB2312" w:hAnsi="宋体" w:eastAsia="仿宋_GB2312"/>
                <w:color w:val="000000"/>
                <w:sz w:val="22"/>
                <w:szCs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7602B"/>
    <w:multiLevelType w:val="singleLevel"/>
    <w:tmpl w:val="9F37602B"/>
    <w:lvl w:ilvl="0" w:tentative="0">
      <w:start w:val="1"/>
      <w:numFmt w:val="decimal"/>
      <w:lvlText w:val="%1."/>
      <w:lvlJc w:val="left"/>
      <w:pPr>
        <w:tabs>
          <w:tab w:val="left" w:pos="312"/>
        </w:tabs>
      </w:pPr>
    </w:lvl>
  </w:abstractNum>
  <w:abstractNum w:abstractNumId="1">
    <w:nsid w:val="C4791414"/>
    <w:multiLevelType w:val="singleLevel"/>
    <w:tmpl w:val="C4791414"/>
    <w:lvl w:ilvl="0" w:tentative="0">
      <w:start w:val="1"/>
      <w:numFmt w:val="chineseCounting"/>
      <w:suff w:val="nothing"/>
      <w:lvlText w:val="%1、"/>
      <w:lvlJc w:val="left"/>
      <w:rPr>
        <w:rFonts w:hint="eastAsia"/>
      </w:rPr>
    </w:lvl>
  </w:abstractNum>
  <w:abstractNum w:abstractNumId="2">
    <w:nsid w:val="CD212E75"/>
    <w:multiLevelType w:val="singleLevel"/>
    <w:tmpl w:val="CD212E75"/>
    <w:lvl w:ilvl="0" w:tentative="0">
      <w:start w:val="1"/>
      <w:numFmt w:val="decimal"/>
      <w:suff w:val="nothing"/>
      <w:lvlText w:val="%1、"/>
      <w:lvlJc w:val="left"/>
    </w:lvl>
  </w:abstractNum>
  <w:abstractNum w:abstractNumId="3">
    <w:nsid w:val="D5E671EE"/>
    <w:multiLevelType w:val="singleLevel"/>
    <w:tmpl w:val="D5E671EE"/>
    <w:lvl w:ilvl="0" w:tentative="0">
      <w:start w:val="1"/>
      <w:numFmt w:val="chineseCounting"/>
      <w:suff w:val="nothing"/>
      <w:lvlText w:val="%1、"/>
      <w:lvlJc w:val="left"/>
      <w:rPr>
        <w:rFonts w:hint="eastAsia"/>
      </w:rPr>
    </w:lvl>
  </w:abstractNum>
  <w:abstractNum w:abstractNumId="4">
    <w:nsid w:val="DB701F70"/>
    <w:multiLevelType w:val="singleLevel"/>
    <w:tmpl w:val="DB701F70"/>
    <w:lvl w:ilvl="0" w:tentative="0">
      <w:start w:val="1"/>
      <w:numFmt w:val="chineseCounting"/>
      <w:suff w:val="nothing"/>
      <w:lvlText w:val="%1、"/>
      <w:lvlJc w:val="left"/>
      <w:rPr>
        <w:rFonts w:hint="eastAsia"/>
      </w:rPr>
    </w:lvl>
  </w:abstractNum>
  <w:abstractNum w:abstractNumId="5">
    <w:nsid w:val="E7ED84F1"/>
    <w:multiLevelType w:val="singleLevel"/>
    <w:tmpl w:val="E7ED84F1"/>
    <w:lvl w:ilvl="0" w:tentative="0">
      <w:start w:val="1"/>
      <w:numFmt w:val="decimal"/>
      <w:lvlText w:val="%1."/>
      <w:lvlJc w:val="left"/>
      <w:pPr>
        <w:tabs>
          <w:tab w:val="left" w:pos="312"/>
        </w:tabs>
      </w:pPr>
    </w:lvl>
  </w:abstractNum>
  <w:abstractNum w:abstractNumId="6">
    <w:nsid w:val="EC2922AE"/>
    <w:multiLevelType w:val="singleLevel"/>
    <w:tmpl w:val="EC2922AE"/>
    <w:lvl w:ilvl="0" w:tentative="0">
      <w:start w:val="1"/>
      <w:numFmt w:val="chineseCounting"/>
      <w:suff w:val="nothing"/>
      <w:lvlText w:val="%1、"/>
      <w:lvlJc w:val="left"/>
      <w:rPr>
        <w:rFonts w:hint="eastAsia"/>
      </w:rPr>
    </w:lvl>
  </w:abstractNum>
  <w:abstractNum w:abstractNumId="7">
    <w:nsid w:val="F983B1C5"/>
    <w:multiLevelType w:val="singleLevel"/>
    <w:tmpl w:val="F983B1C5"/>
    <w:lvl w:ilvl="0" w:tentative="0">
      <w:start w:val="1"/>
      <w:numFmt w:val="decimal"/>
      <w:suff w:val="space"/>
      <w:lvlText w:val="%1."/>
      <w:lvlJc w:val="left"/>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31CD9"/>
    <w:rsid w:val="53F31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2020-08-25T03:07:00Z</dcterms:created>
  <dc:creator>大个子</dc:creator>
  <cp:lastModifiedBy>大个子</cp:lastModifiedBy>
  <dcterms:modified xsi:type="dcterms:W3CDTF">2020-08-25T03:08:42Z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